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D7" w:rsidRPr="00EF62EE" w:rsidRDefault="004E4ED7" w:rsidP="004E4ED7">
      <w:pPr>
        <w:jc w:val="center"/>
        <w:rPr>
          <w:rFonts w:ascii="Times New Roman" w:hAnsi="Times New Roman" w:cs="Times New Roman"/>
        </w:rPr>
      </w:pPr>
      <w:r w:rsidRPr="00EF62EE">
        <w:rPr>
          <w:rFonts w:ascii="Times New Roman" w:eastAsia="Calibri" w:hAnsi="Times New Roman" w:cs="Times New Roman"/>
          <w:u w:val="single"/>
        </w:rPr>
        <w:t>MODELLO UNITA’ DI APPRENDIMENTO CLASSI PRIME ANNO SCOLASTICO 2018/2019</w:t>
      </w:r>
    </w:p>
    <w:p w:rsidR="004E4ED7" w:rsidRPr="00EF62EE" w:rsidRDefault="004E4ED7" w:rsidP="004E4ED7">
      <w:pPr>
        <w:spacing w:line="254" w:lineRule="auto"/>
        <w:rPr>
          <w:rFonts w:ascii="Times New Roman" w:hAnsi="Times New Roman" w:cs="Times New Roman"/>
        </w:rPr>
      </w:pPr>
    </w:p>
    <w:p w:rsidR="004E4ED7" w:rsidRPr="00EF62EE" w:rsidRDefault="004E4ED7" w:rsidP="004E4ED7">
      <w:pPr>
        <w:spacing w:line="254" w:lineRule="auto"/>
        <w:rPr>
          <w:rFonts w:ascii="Times New Roman" w:hAnsi="Times New Roman" w:cs="Times New Roman"/>
        </w:rPr>
      </w:pPr>
    </w:p>
    <w:tbl>
      <w:tblPr>
        <w:tblW w:w="0" w:type="auto"/>
        <w:tblInd w:w="7" w:type="dxa"/>
        <w:tblLayout w:type="fixed"/>
        <w:tblCellMar>
          <w:top w:w="7" w:type="dxa"/>
          <w:right w:w="2" w:type="dxa"/>
        </w:tblCellMar>
        <w:tblLook w:val="04A0"/>
      </w:tblPr>
      <w:tblGrid>
        <w:gridCol w:w="2264"/>
        <w:gridCol w:w="7271"/>
      </w:tblGrid>
      <w:tr w:rsidR="004E4ED7" w:rsidRPr="00EF62EE" w:rsidTr="004E4ED7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eastAsia="Times New Roman" w:hAnsi="Times New Roman" w:cs="Times New Roman"/>
                <w:b/>
                <w:color w:val="211D1E"/>
              </w:rPr>
              <w:t>Unità di apprendimento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E4ED7" w:rsidRPr="00EF62EE" w:rsidRDefault="00DB218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F62EE">
              <w:rPr>
                <w:rFonts w:ascii="Times New Roman" w:eastAsia="Times New Roman" w:hAnsi="Times New Roman" w:cs="Times New Roman"/>
                <w:b/>
                <w:color w:val="211D1E"/>
              </w:rPr>
              <w:t>UNITA’ N.</w:t>
            </w:r>
            <w:r w:rsidR="00BB197A">
              <w:rPr>
                <w:rFonts w:ascii="Times New Roman" w:eastAsia="Times New Roman" w:hAnsi="Times New Roman" w:cs="Times New Roman"/>
                <w:b/>
                <w:color w:val="211D1E"/>
              </w:rPr>
              <w:t>3</w:t>
            </w:r>
          </w:p>
        </w:tc>
      </w:tr>
      <w:tr w:rsidR="004E4ED7" w:rsidRPr="00EF62EE" w:rsidTr="004E4ED7">
        <w:trPr>
          <w:trHeight w:val="59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eastAsia="Times New Roman" w:hAnsi="Times New Roman" w:cs="Times New Roman"/>
                <w:b/>
                <w:color w:val="211D1E"/>
              </w:rPr>
              <w:t>Titolo UdA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43808" w:rsidRPr="00EF62EE" w:rsidRDefault="00C43808" w:rsidP="00C43808">
            <w:p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hAnsi="Times New Roman" w:cs="Times New Roman"/>
              </w:rPr>
              <w:t xml:space="preserve">C’È POSTA PER TE: GESTIRE LA COMUNICAZIONE NELL’ERA DEL VILLAGGIO GLOBALE. </w:t>
            </w:r>
          </w:p>
          <w:p w:rsidR="00C43808" w:rsidRPr="00EF62EE" w:rsidRDefault="00C43808" w:rsidP="00C43808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SMS, INSTANT MESSAGGING, TWEET, E-MAIL, ELABORATI PERSONALI: LE TRASFORMAZIONI DELLA COMUNICAZIONE.  </w:t>
            </w:r>
          </w:p>
          <w:p w:rsidR="004E4ED7" w:rsidRPr="005D3EB1" w:rsidRDefault="00C43808">
            <w:pPr>
              <w:pStyle w:val="Default"/>
              <w:rPr>
                <w:rFonts w:ascii="Times New Roman" w:hAnsi="Times New Roman" w:cs="Times New Roman"/>
              </w:rPr>
            </w:pPr>
            <w:r w:rsidRPr="005D3EB1">
              <w:rPr>
                <w:rFonts w:ascii="Times New Roman" w:eastAsia="Times New Roman" w:hAnsi="Times New Roman" w:cs="Times New Roman"/>
                <w:color w:val="211D1E"/>
              </w:rPr>
              <w:t>NELL’ERA DI INTERNET</w:t>
            </w:r>
          </w:p>
        </w:tc>
      </w:tr>
      <w:tr w:rsidR="004E4ED7" w:rsidRPr="00EF62EE" w:rsidTr="004E4ED7">
        <w:trPr>
          <w:trHeight w:val="61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 xml:space="preserve">Contestualizzazione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90AD0" w:rsidRPr="00EF62EE" w:rsidRDefault="00D90AD0" w:rsidP="00D90AD0">
            <w:pPr>
              <w:pStyle w:val="Default"/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>Imparare a comunicare</w:t>
            </w:r>
            <w:r w:rsidR="00EF021A" w:rsidRPr="00EF62EE">
              <w:rPr>
                <w:rFonts w:ascii="Times New Roman" w:hAnsi="Times New Roman" w:cs="Times New Roman"/>
              </w:rPr>
              <w:t xml:space="preserve">, a raccontare di sé, del proprio vissuto, dei propri gusti e preferenze </w:t>
            </w:r>
            <w:r w:rsidRPr="00EF62EE">
              <w:rPr>
                <w:rFonts w:ascii="Times New Roman" w:hAnsi="Times New Roman" w:cs="Times New Roman"/>
              </w:rPr>
              <w:t>con un linguaggio adeguato al contesto e al registro linguistico in ambiti di varia natura: sociali, culturali</w:t>
            </w:r>
            <w:r w:rsidR="00140F1F" w:rsidRPr="00EF62EE">
              <w:rPr>
                <w:rFonts w:ascii="Times New Roman" w:hAnsi="Times New Roman" w:cs="Times New Roman"/>
              </w:rPr>
              <w:t xml:space="preserve">, economici. </w:t>
            </w:r>
          </w:p>
          <w:p w:rsidR="004E4ED7" w:rsidRPr="00EF62EE" w:rsidRDefault="004E4ED7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4E4ED7" w:rsidRPr="00EF62EE" w:rsidTr="004E4ED7">
        <w:trPr>
          <w:trHeight w:val="55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 xml:space="preserve">Destinatari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E4ED7" w:rsidRPr="00EF62EE" w:rsidRDefault="0042640F" w:rsidP="00BB197A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 xml:space="preserve">CLASSI </w:t>
            </w:r>
            <w:r w:rsidR="00BB197A">
              <w:rPr>
                <w:rFonts w:ascii="Times New Roman" w:hAnsi="Times New Roman" w:cs="Times New Roman"/>
                <w:color w:val="211D1E"/>
              </w:rPr>
              <w:t>1^C</w:t>
            </w:r>
          </w:p>
        </w:tc>
      </w:tr>
      <w:tr w:rsidR="004E4ED7" w:rsidRPr="00EF62EE" w:rsidTr="004E4ED7">
        <w:trPr>
          <w:trHeight w:val="50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>Tempi di realizzazione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4ED7" w:rsidRPr="00EF62EE" w:rsidRDefault="00D90AD0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Nell’arco dell’anno a partire dalla fine del primo trimestre </w:t>
            </w:r>
          </w:p>
        </w:tc>
      </w:tr>
      <w:tr w:rsidR="004E4ED7" w:rsidRPr="00EF62EE" w:rsidTr="004E4ED7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Situazione/problema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E4ED7" w:rsidRDefault="00BF02CD">
            <w:pPr>
              <w:pStyle w:val="Default"/>
              <w:rPr>
                <w:rFonts w:ascii="Times New Roman" w:eastAsia="Times New Roman" w:hAnsi="Times New Roman" w:cs="Times New Roman"/>
                <w:color w:val="211D1E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Produzione di elaborati in cui gli studenti possano esprimere liberamente se stessi ed il proprio vissuto, analizzando anche in modo critico situazioni e fatti e descrivendo aspettative e prospettive future. </w:t>
            </w:r>
          </w:p>
          <w:p w:rsidR="004D5557" w:rsidRPr="00EF62EE" w:rsidRDefault="004D55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D1E"/>
              </w:rPr>
              <w:t xml:space="preserve">Realizzazione di video inerenti ad aspetti della comunicazione vissuta in ambiente famigliare o extrascolastico ritenuti significativi dagli studenti. </w:t>
            </w:r>
          </w:p>
          <w:p w:rsidR="004E4ED7" w:rsidRPr="00EF62EE" w:rsidRDefault="004E4ED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E4ED7" w:rsidRPr="00EF62EE" w:rsidTr="004E4ED7">
        <w:trPr>
          <w:trHeight w:val="47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 xml:space="preserve">Competenza focus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92F56" w:rsidRPr="00B63C6F" w:rsidRDefault="00592F56" w:rsidP="00592F56">
            <w:pPr>
              <w:rPr>
                <w:rFonts w:ascii="Times New Roman" w:hAnsi="Times New Roman" w:cs="Times New Roman"/>
                <w:b/>
                <w:color w:val="211D1E"/>
              </w:rPr>
            </w:pPr>
            <w:r w:rsidRPr="00B63C6F">
              <w:rPr>
                <w:rFonts w:ascii="Times New Roman" w:hAnsi="Times New Roman" w:cs="Times New Roman"/>
                <w:b/>
                <w:color w:val="211D1E"/>
              </w:rPr>
              <w:t xml:space="preserve">Competenza alfabetica funzionale </w:t>
            </w:r>
          </w:p>
          <w:p w:rsidR="0044111A" w:rsidRPr="0044111A" w:rsidRDefault="0044111A" w:rsidP="0044111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kern w:val="0"/>
                <w:lang w:eastAsia="en-US" w:bidi="ar-SA"/>
              </w:rPr>
            </w:pPr>
          </w:p>
          <w:p w:rsidR="0044111A" w:rsidRPr="0044111A" w:rsidRDefault="0044111A" w:rsidP="0044111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L’</w:t>
            </w:r>
            <w:r w:rsidRPr="0044111A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 xml:space="preserve">abilità di comunicare in forma orale e scritta in tutta una serie di situazioni e di sorvegliare e adattare la propria comunicazione in funzione della situazione </w:t>
            </w:r>
            <w:r w:rsidRPr="00B63C6F">
              <w:rPr>
                <w:rFonts w:ascii="Times New Roman" w:hAnsi="Times New Roman" w:cs="Times New Roman"/>
                <w:iCs/>
              </w:rPr>
              <w:t xml:space="preserve">Essa implica l’abilità di comunicare e relazionarsi efficacemente con gli altri in modo opportuno e creativo, riuscendo a comprendere, esprimere ed interpretare concetti, sentimenti, fatti ed opinioni. </w:t>
            </w:r>
          </w:p>
          <w:p w:rsidR="004E4ED7" w:rsidRPr="00EF62EE" w:rsidRDefault="004E4ED7" w:rsidP="00592F56">
            <w:pPr>
              <w:ind w:left="1"/>
              <w:rPr>
                <w:rFonts w:ascii="Times New Roman" w:hAnsi="Times New Roman" w:cs="Times New Roman"/>
                <w:color w:val="000000"/>
              </w:rPr>
            </w:pPr>
          </w:p>
          <w:p w:rsidR="00EF62EE" w:rsidRPr="00B63C6F" w:rsidRDefault="00EF62EE" w:rsidP="00592F56">
            <w:pPr>
              <w:ind w:left="1"/>
              <w:rPr>
                <w:rFonts w:ascii="Times New Roman" w:hAnsi="Times New Roman" w:cs="Times New Roman"/>
                <w:b/>
                <w:color w:val="000000"/>
              </w:rPr>
            </w:pPr>
            <w:r w:rsidRPr="00B63C6F">
              <w:rPr>
                <w:rFonts w:ascii="Times New Roman" w:hAnsi="Times New Roman" w:cs="Times New Roman"/>
                <w:b/>
                <w:color w:val="000000"/>
              </w:rPr>
              <w:t>Competenza multilinguistica</w:t>
            </w:r>
          </w:p>
          <w:p w:rsidR="0044111A" w:rsidRPr="00EF62EE" w:rsidRDefault="0044111A" w:rsidP="0044111A">
            <w:pPr>
              <w:pStyle w:val="NormaleWeb"/>
              <w:rPr>
                <w:color w:val="141412"/>
              </w:rPr>
            </w:pPr>
            <w:r w:rsidRPr="00EF62EE">
              <w:rPr>
                <w:color w:val="141412"/>
              </w:rPr>
              <w:t>Padroneggiare la lingua inglese e un’altra lingua comunitaria per scopi comunicativi, utilizzando anche i linguaggi settoriali previsti dai percorsi di studio, per interagire in diversi ambiti e contesti di studio e di lavoro, al livello B2 di padronanza del quadro europeo di</w:t>
            </w:r>
            <w:r w:rsidRPr="00EF62EE">
              <w:rPr>
                <w:color w:val="141412"/>
              </w:rPr>
              <w:br/>
              <w:t>riferimento per le lingue (QCER). </w:t>
            </w:r>
            <w:bookmarkStart w:id="0" w:name="mate"/>
            <w:bookmarkEnd w:id="0"/>
          </w:p>
          <w:p w:rsidR="0044111A" w:rsidRPr="00EF62EE" w:rsidRDefault="0044111A" w:rsidP="00592F56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4E4ED7" w:rsidRPr="00EF62EE" w:rsidTr="004E4ED7">
        <w:trPr>
          <w:trHeight w:val="93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eastAsia="Times New Roman" w:hAnsi="Times New Roman" w:cs="Times New Roman"/>
                <w:b/>
                <w:color w:val="211D1E"/>
              </w:rPr>
              <w:t xml:space="preserve">Competenze correlate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E4ED7" w:rsidRPr="00EF62EE" w:rsidRDefault="004E4ED7">
            <w:pPr>
              <w:pStyle w:val="Default"/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eastAsia="Times New Roman" w:hAnsi="Times New Roman" w:cs="Times New Roman"/>
                <w:color w:val="211D1E"/>
              </w:rPr>
              <w:t>Selezionare le competenze da promuovere riportate nell’elenco allegato (Allegati 1 e 2 al D.I.24/5/2018 Regolamento recante la disciplina dei profili di uscita degli indirizzi di studio dei percorsi di istruzione Professionale)</w:t>
            </w:r>
          </w:p>
        </w:tc>
      </w:tr>
      <w:tr w:rsidR="004E4ED7" w:rsidRPr="00EF62EE" w:rsidTr="004E4ED7">
        <w:trPr>
          <w:trHeight w:val="63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 xml:space="preserve">Insegnamenti coinvolti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E4ED7" w:rsidRPr="00EF62EE" w:rsidRDefault="001837D4">
            <w:pPr>
              <w:spacing w:line="254" w:lineRule="auto"/>
              <w:ind w:left="1"/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Italiano </w:t>
            </w:r>
          </w:p>
          <w:p w:rsidR="001837D4" w:rsidRPr="00EF62EE" w:rsidRDefault="001837D4" w:rsidP="001837D4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Inglese </w:t>
            </w:r>
          </w:p>
        </w:tc>
      </w:tr>
      <w:tr w:rsidR="004E4ED7" w:rsidRPr="00EF62EE" w:rsidTr="004E4ED7">
        <w:trPr>
          <w:trHeight w:val="539"/>
        </w:trPr>
        <w:tc>
          <w:tcPr>
            <w:tcW w:w="22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  <w:hideMark/>
          </w:tcPr>
          <w:p w:rsidR="004E4ED7" w:rsidRPr="00EF62EE" w:rsidRDefault="004E4ED7">
            <w:pPr>
              <w:ind w:right="36"/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 xml:space="preserve">Metodologie </w:t>
            </w:r>
          </w:p>
        </w:tc>
        <w:tc>
          <w:tcPr>
            <w:tcW w:w="72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  <w:color w:val="373737"/>
                <w:lang w:eastAsia="ja-JP"/>
              </w:rPr>
              <w:t>Attività laboratoriali, lezioni partecipate, ricerca/azione, cooperative learning, mastery learning, lezione frontale</w:t>
            </w:r>
          </w:p>
        </w:tc>
      </w:tr>
      <w:tr w:rsidR="004E4ED7" w:rsidRPr="00EF62EE" w:rsidTr="004E4ED7">
        <w:trPr>
          <w:trHeight w:val="69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lastRenderedPageBreak/>
              <w:t xml:space="preserve"> Prodotti /realizzazioni in esito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E4ED7" w:rsidRPr="00EF62EE" w:rsidRDefault="00E96013">
            <w:pPr>
              <w:ind w:left="1"/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 xml:space="preserve">Realizzazione di elaborati in cui presentare se stessi, i propri interessi, attitudini o inclinazioni, le proprie sfere di interessi in ambito scolastico ed extrascolastico. </w:t>
            </w:r>
          </w:p>
        </w:tc>
      </w:tr>
      <w:tr w:rsidR="004E4ED7" w:rsidRPr="00EF62EE" w:rsidTr="004E4ED7">
        <w:trPr>
          <w:trHeight w:val="107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 xml:space="preserve">Criteri per la valutazione e la </w:t>
            </w:r>
          </w:p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 xml:space="preserve">certificazione dei risultati di apprendimento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013" w:rsidRPr="00EF62EE" w:rsidRDefault="00E9601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>Agli alunni saranno somministrate prove scritte a carattere soggettivo con eventuali scalette da seguire per l’elaborazione.</w:t>
            </w:r>
          </w:p>
          <w:p w:rsidR="00E96013" w:rsidRPr="00EF62EE" w:rsidRDefault="00E9601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 xml:space="preserve">I criteri valutativi verteranno sui seguenti aspetti: </w:t>
            </w:r>
          </w:p>
          <w:p w:rsidR="00E96013" w:rsidRPr="00EF62EE" w:rsidRDefault="00E9601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>- pertinenza alla traccia</w:t>
            </w:r>
          </w:p>
          <w:p w:rsidR="00E96013" w:rsidRPr="00EF62EE" w:rsidRDefault="00E9601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>- coesione e coerenza</w:t>
            </w:r>
          </w:p>
          <w:p w:rsidR="00E96013" w:rsidRPr="00EF62EE" w:rsidRDefault="00E9601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 xml:space="preserve">- lessico </w:t>
            </w:r>
          </w:p>
          <w:p w:rsidR="00E96013" w:rsidRPr="00EF62EE" w:rsidRDefault="00E9601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 xml:space="preserve">- originalità </w:t>
            </w:r>
          </w:p>
          <w:p w:rsidR="004E4ED7" w:rsidRPr="00EF62EE" w:rsidRDefault="004E4ED7" w:rsidP="00E96013">
            <w:pPr>
              <w:pStyle w:val="Default"/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  <w:color w:val="211D1E"/>
              </w:rPr>
              <w:t xml:space="preserve">- </w:t>
            </w:r>
          </w:p>
        </w:tc>
      </w:tr>
    </w:tbl>
    <w:p w:rsidR="004E4ED7" w:rsidRPr="00EF62EE" w:rsidRDefault="004E4ED7" w:rsidP="004E4ED7">
      <w:pPr>
        <w:spacing w:line="254" w:lineRule="auto"/>
        <w:jc w:val="both"/>
        <w:rPr>
          <w:rFonts w:ascii="Times New Roman" w:hAnsi="Times New Roman" w:cs="Times New Roman"/>
        </w:rPr>
      </w:pPr>
    </w:p>
    <w:p w:rsidR="004E4ED7" w:rsidRDefault="004E4ED7" w:rsidP="004E4ED7">
      <w:pPr>
        <w:spacing w:line="254" w:lineRule="auto"/>
        <w:jc w:val="both"/>
        <w:rPr>
          <w:rFonts w:ascii="Times New Roman" w:hAnsi="Times New Roman" w:cs="Times New Roman"/>
        </w:rPr>
      </w:pPr>
    </w:p>
    <w:p w:rsidR="00516140" w:rsidRPr="00516140" w:rsidRDefault="00516140" w:rsidP="00516140">
      <w:pPr>
        <w:rPr>
          <w:rFonts w:ascii="Times New Roman" w:hAnsi="Times New Roman" w:cs="Times New Roman"/>
        </w:rPr>
      </w:pPr>
    </w:p>
    <w:p w:rsidR="00516140" w:rsidRPr="00516140" w:rsidRDefault="00516140" w:rsidP="00516140">
      <w:pPr>
        <w:rPr>
          <w:rFonts w:ascii="Times New Roman" w:hAnsi="Times New Roman" w:cs="Times New Roman"/>
        </w:rPr>
      </w:pPr>
    </w:p>
    <w:p w:rsidR="00516140" w:rsidRPr="00516140" w:rsidRDefault="00516140" w:rsidP="00516140">
      <w:pPr>
        <w:rPr>
          <w:rFonts w:ascii="Times New Roman" w:hAnsi="Times New Roman" w:cs="Times New Roman"/>
        </w:rPr>
      </w:pPr>
    </w:p>
    <w:p w:rsidR="00516140" w:rsidRPr="00516140" w:rsidRDefault="00516140" w:rsidP="00516140">
      <w:pPr>
        <w:rPr>
          <w:rFonts w:ascii="Times New Roman" w:hAnsi="Times New Roman" w:cs="Times New Roman"/>
        </w:rPr>
      </w:pPr>
    </w:p>
    <w:p w:rsidR="00516140" w:rsidRPr="00516140" w:rsidRDefault="00516140" w:rsidP="00516140">
      <w:pPr>
        <w:rPr>
          <w:rFonts w:ascii="Times New Roman" w:hAnsi="Times New Roman" w:cs="Times New Roman"/>
        </w:rPr>
      </w:pPr>
    </w:p>
    <w:p w:rsidR="004E4ED7" w:rsidRPr="00EF62EE" w:rsidRDefault="004E4ED7" w:rsidP="004E4ED7">
      <w:pPr>
        <w:pageBreakBefore/>
        <w:spacing w:line="254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4E4ED7" w:rsidRPr="00EF62EE" w:rsidRDefault="004E4ED7" w:rsidP="004E4ED7">
      <w:pPr>
        <w:spacing w:line="254" w:lineRule="auto"/>
        <w:rPr>
          <w:rFonts w:ascii="Times New Roman" w:hAnsi="Times New Roman" w:cs="Times New Roman"/>
        </w:rPr>
      </w:pPr>
      <w:r w:rsidRPr="00EF62EE">
        <w:rPr>
          <w:rFonts w:ascii="Times New Roman" w:hAnsi="Times New Roman" w:cs="Times New Roman"/>
        </w:rPr>
        <w:t xml:space="preserve">Allegato 1 </w:t>
      </w:r>
    </w:p>
    <w:p w:rsidR="004E4ED7" w:rsidRPr="00EF62EE" w:rsidRDefault="004E4ED7" w:rsidP="004E4ED7">
      <w:pPr>
        <w:spacing w:line="254" w:lineRule="auto"/>
        <w:rPr>
          <w:rFonts w:ascii="Times New Roman" w:hAnsi="Times New Roman" w:cs="Times New Roman"/>
        </w:rPr>
      </w:pPr>
    </w:p>
    <w:tbl>
      <w:tblPr>
        <w:tblW w:w="9663" w:type="dxa"/>
        <w:tblInd w:w="125" w:type="dxa"/>
        <w:tblLayout w:type="fixed"/>
        <w:tblCellMar>
          <w:top w:w="10" w:type="dxa"/>
          <w:left w:w="101" w:type="dxa"/>
          <w:right w:w="88" w:type="dxa"/>
        </w:tblCellMar>
        <w:tblLook w:val="04A0"/>
      </w:tblPr>
      <w:tblGrid>
        <w:gridCol w:w="1676"/>
        <w:gridCol w:w="3270"/>
        <w:gridCol w:w="4717"/>
      </w:tblGrid>
      <w:tr w:rsidR="004E4ED7" w:rsidRPr="00EF62EE" w:rsidTr="00E01A99">
        <w:trPr>
          <w:trHeight w:val="665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Competenza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E4ED7" w:rsidRPr="00EF62EE" w:rsidRDefault="001F24AC" w:rsidP="0038182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Utilizzare il patrimonio lessicale ed espressivo della lingua italiana secondo le esigenze comunicative neivari contesti: sociali, culturali, scientifici, economici, tecnologici e professionali</w:t>
            </w:r>
          </w:p>
        </w:tc>
      </w:tr>
      <w:tr w:rsidR="004E4ED7" w:rsidRPr="00EF62EE" w:rsidTr="00E01A99">
        <w:trPr>
          <w:trHeight w:val="559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Asse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E4ED7" w:rsidRPr="00EF62EE" w:rsidRDefault="00DC7DAA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Asse dei linguaggi </w:t>
            </w:r>
          </w:p>
        </w:tc>
      </w:tr>
      <w:tr w:rsidR="004E4ED7" w:rsidRPr="00EF62EE" w:rsidTr="00E01A99">
        <w:trPr>
          <w:trHeight w:val="566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Disciplina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E4ED7" w:rsidRPr="00EF62EE" w:rsidRDefault="00DC7DAA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Italiano </w:t>
            </w:r>
          </w:p>
        </w:tc>
      </w:tr>
      <w:tr w:rsidR="004E4ED7" w:rsidRPr="00EF62EE" w:rsidTr="00E01A99">
        <w:trPr>
          <w:trHeight w:val="541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Abilità </w:t>
            </w:r>
          </w:p>
        </w:tc>
      </w:tr>
      <w:tr w:rsidR="004E4ED7" w:rsidRPr="00EF62EE" w:rsidTr="00E01A99">
        <w:trPr>
          <w:trHeight w:val="1092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Il sistema e le strutture fondamentali della</w:t>
            </w:r>
          </w:p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lingua italiana ai diversi livelli: fonologia,</w:t>
            </w:r>
          </w:p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ortografia, morfologia, sintassi del verbo e della</w:t>
            </w:r>
          </w:p>
          <w:p w:rsidR="004E4ED7" w:rsidRPr="00EF62EE" w:rsidRDefault="00E01A99" w:rsidP="00E01A99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frase semplice, frase complessa, lessico.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D5952" w:rsidRPr="00EF62EE" w:rsidRDefault="00BD5952" w:rsidP="00BD595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Esporre dati, eventi, trame, dando al</w:t>
            </w:r>
          </w:p>
          <w:p w:rsidR="00BD5952" w:rsidRPr="00EF62EE" w:rsidRDefault="00BD5952" w:rsidP="00BD595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proprio discorso un ordine e uno</w:t>
            </w:r>
          </w:p>
          <w:p w:rsidR="00BD5952" w:rsidRPr="00EF62EE" w:rsidRDefault="00BD5952" w:rsidP="00BD595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scopo, selezionando le informazioni</w:t>
            </w:r>
          </w:p>
          <w:p w:rsidR="00BD5952" w:rsidRPr="00EF62EE" w:rsidRDefault="00BD5952" w:rsidP="00BD595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significative, servendosene in modo</w:t>
            </w:r>
          </w:p>
          <w:p w:rsidR="00BD5952" w:rsidRPr="00EF62EE" w:rsidRDefault="00BD5952" w:rsidP="00BD595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critico, utilizzando un registro</w:t>
            </w:r>
          </w:p>
          <w:p w:rsidR="00BD5952" w:rsidRPr="00EF62EE" w:rsidRDefault="00BD5952" w:rsidP="00BD595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adeguato all’argomento e alla</w:t>
            </w:r>
          </w:p>
          <w:p w:rsidR="004E4ED7" w:rsidRPr="00EF62EE" w:rsidRDefault="00BD5952" w:rsidP="00BD5952">
            <w:p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situazione</w:t>
            </w:r>
          </w:p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Scrivere testi di forma diversa, ad es.</w:t>
            </w:r>
          </w:p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istruzioni per l’uso, lettere private e</w:t>
            </w:r>
          </w:p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pubbliche (lettera formale, CV</w:t>
            </w:r>
          </w:p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europeo, webportfolio), diari personali</w:t>
            </w:r>
          </w:p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e di bordo, articoli (di cronaca,</w:t>
            </w:r>
          </w:p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recensioni, commenti,</w:t>
            </w:r>
          </w:p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argomentazioni) sulla base di modelli,</w:t>
            </w:r>
          </w:p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adeguandoli a situazione, argomento,</w:t>
            </w:r>
          </w:p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scopo, destinatario, e selezionando il</w:t>
            </w:r>
          </w:p>
          <w:p w:rsidR="00E01A99" w:rsidRPr="00EF62EE" w:rsidRDefault="00E01A99" w:rsidP="00E01A99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registro più adeguato</w:t>
            </w:r>
          </w:p>
        </w:tc>
      </w:tr>
      <w:tr w:rsidR="004E4ED7" w:rsidRPr="00EF62EE" w:rsidTr="00E01A99">
        <w:trPr>
          <w:trHeight w:val="698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Disciplina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E4ED7" w:rsidRPr="00EF62EE" w:rsidRDefault="00DC7DAA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>Inglese</w:t>
            </w:r>
          </w:p>
        </w:tc>
      </w:tr>
      <w:tr w:rsidR="004E4ED7" w:rsidRPr="00EF62EE" w:rsidTr="00E01A99">
        <w:trPr>
          <w:trHeight w:val="55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4E4ED7" w:rsidRPr="00EF62EE" w:rsidRDefault="004E4ED7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hAnsi="Times New Roman" w:cs="Times New Roman"/>
              </w:rPr>
              <w:t xml:space="preserve">Abilità </w:t>
            </w:r>
          </w:p>
        </w:tc>
      </w:tr>
      <w:tr w:rsidR="004E4ED7" w:rsidRPr="00EF62EE" w:rsidTr="00D42AFA">
        <w:trPr>
          <w:trHeight w:val="2496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Repertori dei termini tecnici e scientifici in</w:t>
            </w:r>
          </w:p>
          <w:p w:rsidR="004E4ED7" w:rsidRPr="00EF62EE" w:rsidRDefault="00E01A99" w:rsidP="00E01A99">
            <w:p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differenti lingue</w:t>
            </w:r>
          </w:p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Strumenti e codici della comunicazione e loro</w:t>
            </w:r>
          </w:p>
          <w:p w:rsidR="00E01A99" w:rsidRPr="00EF62EE" w:rsidRDefault="00E01A99" w:rsidP="00E01A9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connessioni in contesti formali, organizzativi e</w:t>
            </w:r>
          </w:p>
          <w:p w:rsidR="00E01A99" w:rsidRPr="00EF62EE" w:rsidRDefault="00E01A99" w:rsidP="00E01A99">
            <w:p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professionali.</w:t>
            </w:r>
          </w:p>
          <w:p w:rsidR="00E01A99" w:rsidRPr="00EF62EE" w:rsidRDefault="00E01A99" w:rsidP="00E01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224B4" w:rsidRPr="00EF62EE" w:rsidRDefault="000224B4" w:rsidP="000224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Tecniche compositive per diverse tipologie di</w:t>
            </w:r>
          </w:p>
          <w:p w:rsidR="004E4ED7" w:rsidRPr="00EF62EE" w:rsidRDefault="000224B4" w:rsidP="000224B4">
            <w:pP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produzione scritta anche professionale</w:t>
            </w:r>
          </w:p>
          <w:p w:rsidR="000224B4" w:rsidRPr="00EF62EE" w:rsidRDefault="000224B4" w:rsidP="000224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Tipi e generi testuali, inclusi quelli specifici della</w:t>
            </w:r>
          </w:p>
          <w:p w:rsidR="000224B4" w:rsidRPr="00EF62EE" w:rsidRDefault="000224B4" w:rsidP="000224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microlingua dell’ambito professionale di</w:t>
            </w:r>
          </w:p>
          <w:p w:rsidR="000224B4" w:rsidRPr="00EF62EE" w:rsidRDefault="000224B4" w:rsidP="000224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appartenenza</w:t>
            </w:r>
          </w:p>
          <w:p w:rsidR="000224B4" w:rsidRPr="00EF62EE" w:rsidRDefault="000224B4" w:rsidP="000224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Aspetti grammaticali, incluse le strutture più</w:t>
            </w:r>
          </w:p>
          <w:p w:rsidR="000224B4" w:rsidRPr="00EF62EE" w:rsidRDefault="000224B4" w:rsidP="000224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frequenti nella microlingua dell’ambito</w:t>
            </w:r>
          </w:p>
          <w:p w:rsidR="000224B4" w:rsidRPr="00EF62EE" w:rsidRDefault="000224B4" w:rsidP="000224B4">
            <w:pPr>
              <w:rPr>
                <w:rFonts w:ascii="Times New Roman" w:hAnsi="Times New Roman" w:cs="Times New Roman"/>
              </w:rPr>
            </w:pPr>
            <w:r w:rsidRPr="00EF62E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professionale di appartenenza</w:t>
            </w:r>
          </w:p>
        </w:tc>
      </w:tr>
    </w:tbl>
    <w:p w:rsidR="00D42AFA" w:rsidRPr="00EF62EE" w:rsidRDefault="004E4ED7" w:rsidP="004E4ED7">
      <w:pPr>
        <w:spacing w:after="87" w:line="254" w:lineRule="auto"/>
        <w:rPr>
          <w:rFonts w:ascii="Times New Roman" w:hAnsi="Times New Roman" w:cs="Times New Roman"/>
        </w:rPr>
      </w:pPr>
      <w:r w:rsidRPr="00EF62EE">
        <w:rPr>
          <w:rFonts w:ascii="Times New Roman" w:hAnsi="Times New Roman" w:cs="Times New Roman"/>
        </w:rPr>
        <w:tab/>
      </w:r>
      <w:r w:rsidRPr="00EF62EE">
        <w:rPr>
          <w:rFonts w:ascii="Times New Roman" w:hAnsi="Times New Roman" w:cs="Times New Roman"/>
        </w:rPr>
        <w:tab/>
      </w:r>
    </w:p>
    <w:p w:rsidR="004E4ED7" w:rsidRPr="00EF62EE" w:rsidRDefault="004E4ED7" w:rsidP="004E4ED7">
      <w:pPr>
        <w:spacing w:after="87" w:line="254" w:lineRule="auto"/>
        <w:rPr>
          <w:rFonts w:ascii="Times New Roman" w:hAnsi="Times New Roman" w:cs="Times New Roman"/>
        </w:rPr>
      </w:pPr>
    </w:p>
    <w:p w:rsidR="004E4ED7" w:rsidRPr="00EF62EE" w:rsidRDefault="004E4ED7" w:rsidP="004E4ED7">
      <w:pPr>
        <w:rPr>
          <w:rFonts w:ascii="Times New Roman" w:hAnsi="Times New Roman" w:cs="Times New Roman"/>
        </w:rPr>
      </w:pPr>
    </w:p>
    <w:p w:rsidR="00551C1E" w:rsidRPr="00EF62EE" w:rsidRDefault="00551C1E">
      <w:pPr>
        <w:rPr>
          <w:rFonts w:ascii="Times New Roman" w:hAnsi="Times New Roman" w:cs="Times New Roman"/>
        </w:rPr>
      </w:pPr>
    </w:p>
    <w:sectPr w:rsidR="00551C1E" w:rsidRPr="00EF62EE" w:rsidSect="007946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formCondensed-Light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5F1B"/>
    <w:rsid w:val="000224B4"/>
    <w:rsid w:val="00084FCE"/>
    <w:rsid w:val="00140F1F"/>
    <w:rsid w:val="001837D4"/>
    <w:rsid w:val="001F24AC"/>
    <w:rsid w:val="001F6DDE"/>
    <w:rsid w:val="002D295F"/>
    <w:rsid w:val="0038182A"/>
    <w:rsid w:val="004032CC"/>
    <w:rsid w:val="0042640F"/>
    <w:rsid w:val="0044111A"/>
    <w:rsid w:val="004D5557"/>
    <w:rsid w:val="004E4ED7"/>
    <w:rsid w:val="00516140"/>
    <w:rsid w:val="00551C1E"/>
    <w:rsid w:val="00592F56"/>
    <w:rsid w:val="005B3846"/>
    <w:rsid w:val="005D3EB1"/>
    <w:rsid w:val="00611F0A"/>
    <w:rsid w:val="00633912"/>
    <w:rsid w:val="006B53BA"/>
    <w:rsid w:val="006E75B4"/>
    <w:rsid w:val="00794607"/>
    <w:rsid w:val="008549D9"/>
    <w:rsid w:val="00A12C4A"/>
    <w:rsid w:val="00B63C6F"/>
    <w:rsid w:val="00BB197A"/>
    <w:rsid w:val="00BB743F"/>
    <w:rsid w:val="00BD5952"/>
    <w:rsid w:val="00BF02CD"/>
    <w:rsid w:val="00C02E16"/>
    <w:rsid w:val="00C43808"/>
    <w:rsid w:val="00D42AFA"/>
    <w:rsid w:val="00D90AD0"/>
    <w:rsid w:val="00DB218A"/>
    <w:rsid w:val="00DC7DAA"/>
    <w:rsid w:val="00E01A99"/>
    <w:rsid w:val="00E96013"/>
    <w:rsid w:val="00EF021A"/>
    <w:rsid w:val="00EF62EE"/>
    <w:rsid w:val="00F5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ED7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4ED7"/>
    <w:pPr>
      <w:widowControl w:val="0"/>
      <w:suppressAutoHyphens/>
      <w:spacing w:after="0" w:line="240" w:lineRule="auto"/>
    </w:pPr>
    <w:rPr>
      <w:rFonts w:ascii="UniformCondensed-Light" w:eastAsia="UniformCondensed-Light" w:hAnsi="UniformCondensed-Light" w:cs="Liberation Serif"/>
      <w:color w:val="000000"/>
      <w:kern w:val="2"/>
      <w:sz w:val="24"/>
      <w:szCs w:val="24"/>
      <w:lang w:eastAsia="ar-SA" w:bidi="hi-IN"/>
    </w:rPr>
  </w:style>
  <w:style w:type="paragraph" w:styleId="NormaleWeb">
    <w:name w:val="Normal (Web)"/>
    <w:basedOn w:val="Normale"/>
    <w:uiPriority w:val="99"/>
    <w:semiHidden/>
    <w:unhideWhenUsed/>
    <w:rsid w:val="0044111A"/>
    <w:pPr>
      <w:suppressAutoHyphens w:val="0"/>
      <w:spacing w:after="360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Macari</dc:creator>
  <cp:lastModifiedBy>oem</cp:lastModifiedBy>
  <cp:revision>2</cp:revision>
  <dcterms:created xsi:type="dcterms:W3CDTF">2019-05-16T10:50:00Z</dcterms:created>
  <dcterms:modified xsi:type="dcterms:W3CDTF">2019-05-16T10:50:00Z</dcterms:modified>
</cp:coreProperties>
</file>