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57" w:rsidRDefault="00E61BB8">
      <w:pPr>
        <w:jc w:val="center"/>
      </w:pPr>
      <w:r>
        <w:t>Liceo Scientifico Marie Curie (Savignano s/R) – ESAME DI STATO 2019 – COMMISSIONE _________</w:t>
      </w:r>
    </w:p>
    <w:p w:rsidR="005E2957" w:rsidRDefault="005E2957">
      <w:pPr>
        <w:jc w:val="center"/>
      </w:pPr>
    </w:p>
    <w:p w:rsidR="005E2957" w:rsidRDefault="00E61BB8">
      <w:pPr>
        <w:jc w:val="center"/>
        <w:rPr>
          <w:b/>
        </w:rPr>
      </w:pPr>
      <w:r>
        <w:t xml:space="preserve">GRIGLIA DI VALUTAZIONE SECONDA PROVA – </w:t>
      </w:r>
      <w:r>
        <w:rPr>
          <w:b/>
        </w:rPr>
        <w:t>MATEMATICA e FISICA</w:t>
      </w:r>
    </w:p>
    <w:p w:rsidR="005E2957" w:rsidRDefault="005E2957">
      <w:pPr>
        <w:jc w:val="center"/>
        <w:rPr>
          <w:b/>
        </w:rPr>
      </w:pPr>
    </w:p>
    <w:p w:rsidR="005E2957" w:rsidRDefault="00E61BB8">
      <w:pPr>
        <w:jc w:val="center"/>
      </w:pPr>
      <w:r>
        <w:t xml:space="preserve">Candidato/a </w:t>
      </w:r>
      <w:r>
        <w:t>_________________________________________________________ Classe __5___</w:t>
      </w:r>
    </w:p>
    <w:p w:rsidR="005E2957" w:rsidRDefault="005E2957">
      <w:pPr>
        <w:jc w:val="center"/>
      </w:pPr>
    </w:p>
    <w:p w:rsidR="005E2957" w:rsidRDefault="00E61BB8">
      <w:pPr>
        <w:jc w:val="center"/>
      </w:pPr>
      <w:r>
        <w:t xml:space="preserve">Viene assegnato un punteggio grezzo </w:t>
      </w:r>
      <w:r>
        <w:rPr>
          <w:i/>
        </w:rPr>
        <w:t>massimo</w:t>
      </w:r>
      <w:r>
        <w:t xml:space="preserve"> pari a 80 per il problema e a 20 per ciascun quesito.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1988185</wp:posOffset>
                </wp:positionV>
                <wp:extent cx="6645910" cy="628904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28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70" w:type="dxa"/>
                              <w:tblBorders>
                                <w:bottom w:val="single" w:sz="8" w:space="0" w:color="00000A"/>
                                <w:insideH w:val="single" w:sz="8" w:space="0" w:color="00000A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  <w:gridCol w:w="863"/>
                              <w:gridCol w:w="1413"/>
                              <w:gridCol w:w="676"/>
                              <w:gridCol w:w="674"/>
                              <w:gridCol w:w="676"/>
                              <w:gridCol w:w="683"/>
                              <w:gridCol w:w="662"/>
                              <w:gridCol w:w="1969"/>
                              <w:gridCol w:w="62"/>
                              <w:gridCol w:w="478"/>
                            </w:tblGrid>
                            <w:tr w:rsidR="005E2957">
                              <w:trPr>
                                <w:trHeight w:val="315"/>
                              </w:trPr>
                              <w:tc>
                                <w:tcPr>
                                  <w:tcW w:w="2311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Problema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Quesiti n.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15"/>
                              </w:trPr>
                              <w:tc>
                                <w:tcPr>
                                  <w:tcW w:w="2311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INDICATORI (*)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15"/>
                              </w:trPr>
                              <w:tc>
                                <w:tcPr>
                                  <w:tcW w:w="2311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Analizzare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3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CORRISPONDENZA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153-160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144-152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000000" w:fill="9CC2E5" w:themeFill="accent5" w:themeFillTint="99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134-143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124-133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15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115-123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 w:val="restart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Sviluppare il</w:t>
                                  </w: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 xml:space="preserve">processo </w:t>
                                  </w: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risolutivo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106-114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000000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97-105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000000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88-96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9CC2E5" w:themeFill="accent5" w:themeFillTint="99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80-87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9CC2E5" w:themeFill="accent5" w:themeFillTint="99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000000" w:fill="9CC2E5" w:themeFill="accent5" w:themeFillTint="99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73-79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66-72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2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59-65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 xml:space="preserve">Interpretare, </w:t>
                                  </w: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 xml:space="preserve">rappresentare, </w:t>
                                  </w: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elaborare i dati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52-58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45-51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38-44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000000" w:fill="9CC2E5" w:themeFill="accent5" w:themeFillTint="99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31-37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24-30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2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16-23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 w:val="restart"/>
                                  <w:tcBorders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Argomentare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 w:themeColor="text1"/>
                                      <w:sz w:val="22"/>
                                      <w:szCs w:val="22"/>
                                      <w:lang w:eastAsia="it-IT"/>
                                    </w:rPr>
                                    <w:t>9-15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2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≤8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000000" w:fill="9CC2E5" w:themeFill="accent5" w:themeFillTint="99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  <w:shd w:val="clear" w:color="000000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single" w:sz="4" w:space="0" w:color="00000A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2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shd w:val="clear" w:color="000000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000000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20"/>
                              </w:trPr>
                              <w:tc>
                                <w:tcPr>
                                  <w:tcW w:w="2311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bottom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00"/>
                              </w:trPr>
                              <w:tc>
                                <w:tcPr>
                                  <w:tcW w:w="317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Pesi punti Problema e Quesiti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8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000000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8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Merge w:val="restart"/>
                                  <w:tcBorders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gridSpan w:val="2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35"/>
                              </w:trPr>
                              <w:tc>
                                <w:tcPr>
                                  <w:tcW w:w="317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Subtotali</w:t>
                                  </w:r>
                                </w:p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left w:val="single" w:sz="4" w:space="0" w:color="000001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gridSpan w:val="3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VALUTAZIONE</w:t>
                                  </w: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PROVA:</w:t>
                                  </w:r>
                                </w:p>
                                <w:p w:rsidR="005E2957" w:rsidRDefault="005E2957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>___________ / 20</w:t>
                                  </w:r>
                                </w:p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5E2957">
                              <w:trPr>
                                <w:trHeight w:val="335"/>
                              </w:trPr>
                              <w:tc>
                                <w:tcPr>
                                  <w:tcW w:w="317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  <w:p w:rsidR="005E2957" w:rsidRDefault="00E61B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  <w:t xml:space="preserve">TOTALE </w:t>
                                  </w:r>
                                </w:p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5E2957" w:rsidRDefault="005E295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E61BB8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3.5pt;margin-top:156.55pt;width:523.3pt;height:495.2pt;z-index:2;visibility:visible;mso-wrap-style:square;mso-width-percent:1000;mso-wrap-distance-left:7.05pt;mso-wrap-distance-top:0;mso-wrap-distance-right:7.05pt;mso-wrap-distance-bottom:0;mso-position-horizontal:absolute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70" w:type="dxa"/>
                        <w:tblBorders>
                          <w:bottom w:val="single" w:sz="8" w:space="0" w:color="00000A"/>
                          <w:insideH w:val="single" w:sz="8" w:space="0" w:color="00000A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  <w:gridCol w:w="863"/>
                        <w:gridCol w:w="1413"/>
                        <w:gridCol w:w="676"/>
                        <w:gridCol w:w="674"/>
                        <w:gridCol w:w="676"/>
                        <w:gridCol w:w="683"/>
                        <w:gridCol w:w="662"/>
                        <w:gridCol w:w="1969"/>
                        <w:gridCol w:w="62"/>
                        <w:gridCol w:w="478"/>
                      </w:tblGrid>
                      <w:tr w:rsidR="005E2957">
                        <w:trPr>
                          <w:trHeight w:val="315"/>
                        </w:trPr>
                        <w:tc>
                          <w:tcPr>
                            <w:tcW w:w="2311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Problema</w:t>
                            </w:r>
                          </w:p>
                        </w:tc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Quesiti n.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15"/>
                        </w:trPr>
                        <w:tc>
                          <w:tcPr>
                            <w:tcW w:w="2311" w:type="dxa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INDICATORI (*)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15"/>
                        </w:trPr>
                        <w:tc>
                          <w:tcPr>
                            <w:tcW w:w="2311" w:type="dxa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Analizzare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3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CORRISPONDENZA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153-160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20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144-152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19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000000" w:fill="9CC2E5" w:themeFill="accent5" w:themeFillTint="99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134-143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18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124-133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17</w:t>
                            </w:r>
                          </w:p>
                        </w:tc>
                      </w:tr>
                      <w:tr w:rsidR="005E2957">
                        <w:trPr>
                          <w:trHeight w:val="315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115-123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16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 w:val="restart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Sviluppare il</w:t>
                            </w: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 xml:space="preserve">processo </w:t>
                            </w: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risolutivo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 w:val="restart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106-114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15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000000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97-105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000000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14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88-96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13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9CC2E5" w:themeFill="accent5" w:themeFillTint="99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80-87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9CC2E5" w:themeFill="accent5" w:themeFillTint="99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12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000000" w:fill="9CC2E5" w:themeFill="accent5" w:themeFillTint="99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73-79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11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66-72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10</w:t>
                            </w:r>
                          </w:p>
                        </w:tc>
                      </w:tr>
                      <w:tr w:rsidR="005E2957">
                        <w:trPr>
                          <w:trHeight w:val="32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59-65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9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 xml:space="preserve">Interpretare, </w:t>
                            </w: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 xml:space="preserve">rappresentare, </w:t>
                            </w: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elaborare i dati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52-58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8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45-51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7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38-44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6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000000" w:fill="9CC2E5" w:themeFill="accent5" w:themeFillTint="99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31-37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5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24-30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</w:tr>
                      <w:tr w:rsidR="005E2957">
                        <w:trPr>
                          <w:trHeight w:val="32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16-23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3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 w:val="restart"/>
                            <w:tcBorders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Argomentare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 w:val="restart"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22"/>
                                <w:szCs w:val="22"/>
                                <w:lang w:eastAsia="it-IT"/>
                              </w:rPr>
                              <w:t>9-15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</w:t>
                            </w:r>
                          </w:p>
                        </w:tc>
                      </w:tr>
                      <w:tr w:rsidR="005E2957">
                        <w:trPr>
                          <w:trHeight w:val="32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≤8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000000" w:fill="9CC2E5" w:themeFill="accent5" w:themeFillTint="99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  <w:shd w:val="clear" w:color="000000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single" w:sz="4" w:space="0" w:color="00000A"/>
                            </w:tcBorders>
                            <w:shd w:val="clear" w:color="000000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2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shd w:val="clear" w:color="000000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shd w:val="clear" w:color="000000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20"/>
                        </w:trPr>
                        <w:tc>
                          <w:tcPr>
                            <w:tcW w:w="2311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tcBorders>
                              <w:bottom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00"/>
                        </w:trPr>
                        <w:tc>
                          <w:tcPr>
                            <w:tcW w:w="317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right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Pesi punti Problema e Quesiti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8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000000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8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8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  <w:vMerge w:val="restart"/>
                            <w:tcBorders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gridSpan w:val="2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35"/>
                        </w:trPr>
                        <w:tc>
                          <w:tcPr>
                            <w:tcW w:w="317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Subtotali</w:t>
                            </w:r>
                          </w:p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left w:val="single" w:sz="4" w:space="0" w:color="000001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gridSpan w:val="3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VALUTAZIONE</w:t>
                            </w: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PROVA:</w:t>
                            </w:r>
                          </w:p>
                          <w:p w:rsidR="005E2957" w:rsidRDefault="005E2957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>___________ / 20</w:t>
                            </w:r>
                          </w:p>
                          <w:p w:rsidR="005E2957" w:rsidRDefault="005E29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5E2957">
                        <w:trPr>
                          <w:trHeight w:val="335"/>
                        </w:trPr>
                        <w:tc>
                          <w:tcPr>
                            <w:tcW w:w="317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5E2957" w:rsidRDefault="00E61BB8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  <w:t xml:space="preserve">TOTALE </w:t>
                            </w:r>
                          </w:p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  <w:gridSpan w:val="3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5E2957" w:rsidRDefault="005E295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000000" w:rsidRDefault="00E61BB8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E2957" w:rsidRDefault="005E2957">
      <w:pPr>
        <w:rPr>
          <w:sz w:val="16"/>
          <w:szCs w:val="16"/>
        </w:rPr>
      </w:pPr>
    </w:p>
    <w:p w:rsidR="005E2957" w:rsidRDefault="00E61BB8">
      <w:pPr>
        <w:pStyle w:val="NormaleWeb"/>
        <w:spacing w:beforeAutospacing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N.B.: Il livello di sufficienza corrisponde ai punteggi con sfondo in colore.</w:t>
      </w:r>
    </w:p>
    <w:p w:rsidR="005E2957" w:rsidRDefault="00E61BB8">
      <w:pPr>
        <w:pStyle w:val="NormaleWeb"/>
        <w:spacing w:beforeAutospacing="0" w:afterAutospacing="0"/>
        <w:jc w:val="center"/>
      </w:pPr>
      <w:r>
        <w:rPr>
          <w:rFonts w:ascii="Cambria" w:hAnsi="Cambria"/>
          <w:sz w:val="20"/>
          <w:szCs w:val="20"/>
        </w:rPr>
        <w:t xml:space="preserve">I descrittori per ogni indicatore sono sul </w:t>
      </w:r>
      <w:r>
        <w:rPr>
          <w:rFonts w:ascii="Cambria" w:hAnsi="Cambria"/>
          <w:sz w:val="20"/>
          <w:szCs w:val="20"/>
        </w:rPr>
        <w:t>retro della presente scheda di valutazione.</w:t>
      </w:r>
    </w:p>
    <w:p w:rsidR="005E2957" w:rsidRDefault="005E2957"/>
    <w:p w:rsidR="005E2957" w:rsidRDefault="00E61BB8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Il presidente della Commissione: ……………………………………………</w:t>
      </w:r>
    </w:p>
    <w:p w:rsidR="005E2957" w:rsidRDefault="005E2957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5E2957" w:rsidRDefault="00E61BB8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I Commissari</w:t>
      </w:r>
    </w:p>
    <w:p w:rsidR="005E2957" w:rsidRDefault="00E61BB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p w:rsidR="005E2957" w:rsidRDefault="00E61BB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tbl>
      <w:tblPr>
        <w:tblW w:w="5000" w:type="pct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8358"/>
        <w:gridCol w:w="582"/>
      </w:tblGrid>
      <w:tr w:rsidR="005E2957" w:rsidTr="00E61BB8">
        <w:trPr>
          <w:trHeight w:val="255"/>
        </w:trPr>
        <w:tc>
          <w:tcPr>
            <w:tcW w:w="149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INDICATORI (*)</w:t>
            </w:r>
          </w:p>
        </w:tc>
        <w:tc>
          <w:tcPr>
            <w:tcW w:w="8358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582" w:type="dxa"/>
            <w:tcBorders>
              <w:top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</w:tr>
      <w:tr w:rsidR="005E2957" w:rsidTr="00E61BB8">
        <w:trPr>
          <w:trHeight w:val="300"/>
        </w:trPr>
        <w:tc>
          <w:tcPr>
            <w:tcW w:w="1496" w:type="dxa"/>
            <w:vMerge w:val="restart"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Analizzare </w:t>
            </w:r>
          </w:p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Esaminare la situazione problematica individuando gli aspetti significativi del fenomeno e formulando le ipotesi esplicative attraverso modelli, analogie o leggi. </w:t>
            </w: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Non comprende o comprende in modo parziale e inadeguato la situazione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problematica proposta, senza riuscire ad individuarne gli aspetti significativi. Non colloca la situazione problematica nel pertinente quadro concettuale.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Mostra una comprensione solo parziale della situazione problematica proposta, di cui individua </w:t>
            </w:r>
            <w:proofErr w:type="gramStart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alcun aspetti significativi</w:t>
            </w:r>
            <w:proofErr w:type="gramEnd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e che solo in parte riconduce al pertinente quadro concettuale. 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5E2957" w:rsidTr="00E61BB8">
        <w:trPr>
          <w:trHeight w:val="72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Riesce ad individuare con sufficiente precisione gli aspetti con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cettualmente salienti della situazione problematica proposta, che viene ricondotta al pertinente quadro concettuale. Formula ipotesi esplicative nella sostanza corrette, pur non riuscendo ad applicare pienamente e con il corretto grado di dettaglio le nece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ssarie leggi.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9CC2E5" w:themeFill="accent5" w:themeFillTint="99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Individua con buona precisione quasi tutti gli aspetti concettualmente salienti della situazione problematica proposta, che viene ricondotta al pertinente quadro concettuale. Formula ipotesi esplicative </w:t>
            </w:r>
            <w:proofErr w:type="gramStart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corrette,  facendo</w:t>
            </w:r>
            <w:proofErr w:type="gramEnd"/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riferimento alle necessarie leggi.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2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Individua con precisione tutti gli aspetti concettualmente salienti della situazione problematica proposta, che viene ricondotta ad un ben definito quadro concettuale. Formula ipotesi esplicative corrette 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precise, nell'ambito del pertinente modello interpretativo.</w:t>
            </w:r>
          </w:p>
        </w:tc>
        <w:tc>
          <w:tcPr>
            <w:tcW w:w="582" w:type="dxa"/>
            <w:tcBorders>
              <w:bottom w:val="single" w:sz="2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5E2957" w:rsidTr="00E61BB8">
        <w:trPr>
          <w:trHeight w:val="300"/>
        </w:trPr>
        <w:tc>
          <w:tcPr>
            <w:tcW w:w="1496" w:type="dxa"/>
            <w:vMerge w:val="restart"/>
            <w:tcBorders>
              <w:top w:val="single" w:sz="2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Sviluppare il processo risolutivo </w:t>
            </w:r>
          </w:p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Formalizzare situazioni problematiche e applicare i concetti e i metodi matematici e gli strumenti disciplinari rilevanti per la loro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risoluzione, eseguendo i calcoli necessari.</w:t>
            </w:r>
          </w:p>
        </w:tc>
        <w:tc>
          <w:tcPr>
            <w:tcW w:w="8358" w:type="dxa"/>
            <w:tcBorders>
              <w:top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2" w:type="dxa"/>
            <w:tcBorders>
              <w:top w:val="single" w:sz="2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Formalizza la situazione problematica in modo molto frammentario e del tutto inadeguato. Non riconosce il formalismo matematico necessario alla risoluzione, senza pervenire a risultati o pervenendo 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risultati sostanzialmente scorretti.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Formalizza la situazione problematica in modo parziale e inadeguato. Utilizza in modo impreciso o incoerente il formalismo matematico, senza giungere a risultati corretti.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Formalizza la situazione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problematica in modo parziale. Utilizza in modo spesso impreciso il formalismo matematico, giungendo a risultati solo in parte corretti.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Riesce a formalizzare la situazione problematica con sufficiente completezza. Applica il formalismo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matematico in modo sostanzialmente corretto, anche se non sempre pienamente coerente o comunque con imprecisioni, giungendo a risultati globalmente accettabili.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9CC2E5" w:themeFill="accent5" w:themeFillTint="99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Riesce a formalizzare la situazione problematica in modo completo. Applica correttamente il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formalismo matematico, pur con qualche imprecisione, giungendo a risultati esatti.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2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Riesce a formalizzare la situazione problematica in modo completo, preciso, elegante. Individua con sicurezza il pertinente il formalismo matematico, che applica con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padronanza e che utilizza per giungere a risultati esatti.</w:t>
            </w:r>
          </w:p>
        </w:tc>
        <w:tc>
          <w:tcPr>
            <w:tcW w:w="582" w:type="dxa"/>
            <w:tcBorders>
              <w:bottom w:val="single" w:sz="2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5E2957" w:rsidTr="00E61BB8">
        <w:trPr>
          <w:trHeight w:val="300"/>
        </w:trPr>
        <w:tc>
          <w:tcPr>
            <w:tcW w:w="1496" w:type="dxa"/>
            <w:vMerge w:val="restart"/>
            <w:tcBorders>
              <w:top w:val="single" w:sz="2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Interpretare, rappresentare, elaborare i dati </w:t>
            </w:r>
          </w:p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Interpretare o elaborare i dati proposti o ricavati, anche di natura sperimentale, verificandone la pertinenza al modello scelto.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Rappresentare e collegare i dati adoperando i necessari codici grafico-simbolici.</w:t>
            </w:r>
          </w:p>
        </w:tc>
        <w:tc>
          <w:tcPr>
            <w:tcW w:w="8358" w:type="dxa"/>
            <w:tcBorders>
              <w:top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2" w:type="dxa"/>
            <w:tcBorders>
              <w:top w:val="single" w:sz="2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Non interpreta correttamente i dati, di cui riesce a fornire elaborazione solo parziale e frammentaria, senza ricondurli al pertinente ambito 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modellizzazione. Non utilizza in modo coerente i codici grafico-simbolici necessari.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Interpreta in modo parzialmente corretto i dati, di cui fornisce elaborazione viziata da imprecisioni, riconducendoli solo in parte al pertinente ambito 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modellizzazione. Utilizza in modo non pienamente corretto e coerente i codici grafico-simbolici necessari.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Interpreta con un sufficiente grado di precisione i dati, di cui fornisce un'elaborazione accettabile seppur talora viziata da imprecisioni, rico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nducendoli al pertinente ambito di modellizzazione. Mostra una sufficiente padronanza dei codici grafico-simbolici necessari.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9CC2E5" w:themeFill="accent5" w:themeFillTint="99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E2957" w:rsidTr="00E61BB8">
        <w:trPr>
          <w:trHeight w:val="48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Interpreta con un buon grado di precisione i dati, di cui fornisce un'elaborazione nel complesso completa,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riconducendoli al pertinente ambito di modellizzazione. Mostra di saper padroneggiare ed applicare correttamente i codici grafico-simbolici necessari.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5E2957" w:rsidTr="00E61BB8">
        <w:trPr>
          <w:trHeight w:val="720"/>
        </w:trPr>
        <w:tc>
          <w:tcPr>
            <w:tcW w:w="1496" w:type="dxa"/>
            <w:vMerge/>
            <w:tcBorders>
              <w:left w:val="doub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2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Interpreta in modo pienamente coerente i dati, di cui fornisce un'elaborazione completa 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precisa, riconducendoli al pertinente ambito di modellizzazione. Mostra di saper padroneggiare ed applicare con sicurezza, correttezza ed eventuale originalità i codici grafico-simbolici necessari.</w:t>
            </w:r>
          </w:p>
        </w:tc>
        <w:tc>
          <w:tcPr>
            <w:tcW w:w="582" w:type="dxa"/>
            <w:tcBorders>
              <w:bottom w:val="single" w:sz="2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5E2957" w:rsidTr="00E61BB8">
        <w:trPr>
          <w:trHeight w:val="465"/>
        </w:trPr>
        <w:tc>
          <w:tcPr>
            <w:tcW w:w="1496" w:type="dxa"/>
            <w:vMerge w:val="restart"/>
            <w:tcBorders>
              <w:top w:val="single" w:sz="2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Argomentare</w:t>
            </w:r>
          </w:p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Descrivere il processo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risolutivo adottato, la strategia risolutiva e i passaggi fondamentali. Comunicare i risultati ottenuti valutandone la coerenza con la situazione problematica proposta e utilizzando i linguaggi specifici disciplinari.</w:t>
            </w:r>
          </w:p>
        </w:tc>
        <w:tc>
          <w:tcPr>
            <w:tcW w:w="8358" w:type="dxa"/>
            <w:tcBorders>
              <w:top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2" w:type="dxa"/>
            <w:tcBorders>
              <w:top w:val="single" w:sz="2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5E2957" w:rsidTr="00E61BB8">
        <w:trPr>
          <w:trHeight w:val="525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Non argomenta o argomenta in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modo insufficiente o errato la strategia/procedura risolutiva e la fase di verifica, utilizzando un linguaggio matematico non appropriato o molto impreciso.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5E2957" w:rsidTr="00E61BB8">
        <w:trPr>
          <w:trHeight w:val="54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Argomenta in maniera sintetica e sostanzialmente coerente la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strategia/procedura esecutiva o la fase di verifica. Utilizza un linguaggio matematico per lo più appropriato, anche se non sempre rigoroso.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9CC2E5" w:themeFill="accent5" w:themeFillTint="99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5E2957" w:rsidTr="00E61BB8">
        <w:trPr>
          <w:trHeight w:val="810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Argomenta in modo coerente, anche se talora non pienamente completo, la procedura risolutiva, di cui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fornisce commento e adeguata giustificazione in termini formali nel complesso corretti e pertinenti.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5E2957" w:rsidTr="00E61BB8">
        <w:trPr>
          <w:trHeight w:val="675"/>
        </w:trPr>
        <w:tc>
          <w:tcPr>
            <w:tcW w:w="1496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5E2957" w:rsidRDefault="005E295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3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Argomenta sempre in modo coerente, preciso, accurato e completo tanto le strategie adottate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quanto le soluzioni ottenute. Dimostra un’ottima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padronanza nell’utilizzo del linguaggio disciplinare.</w:t>
            </w:r>
          </w:p>
        </w:tc>
        <w:tc>
          <w:tcPr>
            <w:tcW w:w="582" w:type="dxa"/>
            <w:tcBorders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5E2957" w:rsidTr="00E61BB8">
        <w:trPr>
          <w:trHeight w:val="300"/>
        </w:trPr>
        <w:tc>
          <w:tcPr>
            <w:tcW w:w="149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358" w:type="dxa"/>
            <w:tcBorders>
              <w:bottom w:val="double" w:sz="4" w:space="0" w:color="00000A"/>
            </w:tcBorders>
            <w:shd w:val="clear" w:color="auto" w:fill="auto"/>
            <w:vAlign w:val="bottom"/>
          </w:tcPr>
          <w:p w:rsidR="005E2957" w:rsidRDefault="00E61B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shd w:val="clear" w:color="auto" w:fill="9CC2E5"/>
                <w:lang w:eastAsia="it-IT"/>
              </w:rPr>
              <w:t>Il livello di sufficienza corrisponde alle caselle con sfondo in colore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582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5E2957" w:rsidRDefault="005E29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5E2957" w:rsidRDefault="005E2957"/>
    <w:p w:rsidR="005E2957" w:rsidRDefault="00E61BB8">
      <w:pPr>
        <w:jc w:val="both"/>
      </w:pPr>
      <w:r>
        <w:t xml:space="preserve">(*)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Indicatori conformi ai "Quadri di riferimento" e alle griglie di valutazione previsti dal D.M. 769 del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26/11/2018.</w:t>
      </w:r>
    </w:p>
    <w:sectPr w:rsidR="005E295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57"/>
    <w:rsid w:val="005E2957"/>
    <w:rsid w:val="00E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7243-A532-40A0-9676-8E4D62A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82FB1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486854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Mauro Tosi</cp:lastModifiedBy>
  <cp:revision>7</cp:revision>
  <cp:lastPrinted>2019-02-05T15:54:00Z</cp:lastPrinted>
  <dcterms:created xsi:type="dcterms:W3CDTF">2019-02-08T22:41:00Z</dcterms:created>
  <dcterms:modified xsi:type="dcterms:W3CDTF">2019-02-13T18:41:00Z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